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0E2E" w14:textId="77777777" w:rsidR="00F47FBA" w:rsidRDefault="00F47FBA" w:rsidP="002D77BF">
      <w:pPr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14:paraId="15D8FC3C" w14:textId="7B61536E" w:rsidR="00AA31FC" w:rsidRPr="00AA31FC" w:rsidRDefault="00AA31FC" w:rsidP="00AA31FC">
      <w:pPr>
        <w:pStyle w:val="NormalWeb"/>
        <w:jc w:val="center"/>
        <w:rPr>
          <w:rFonts w:ascii="Verdana" w:eastAsia="Times New Roman" w:hAnsi="Verdana"/>
          <w:b/>
        </w:rPr>
      </w:pPr>
      <w:r w:rsidRPr="00AA31FC">
        <w:rPr>
          <w:rFonts w:ascii="Verdana" w:eastAsia="Times New Roman" w:hAnsi="Verdana"/>
          <w:b/>
        </w:rPr>
        <w:t>Summary</w:t>
      </w:r>
      <w:r w:rsidR="00753F19" w:rsidRPr="00AA31FC">
        <w:rPr>
          <w:rFonts w:ascii="Verdana" w:eastAsia="Times New Roman" w:hAnsi="Verdana"/>
          <w:b/>
        </w:rPr>
        <w:t xml:space="preserve"> of the </w:t>
      </w:r>
      <w:r w:rsidRPr="00AA31FC">
        <w:rPr>
          <w:rFonts w:ascii="Verdana" w:eastAsia="Times New Roman" w:hAnsi="Verdana"/>
          <w:b/>
        </w:rPr>
        <w:t>A</w:t>
      </w:r>
      <w:r w:rsidR="00753F19" w:rsidRPr="00AA31FC">
        <w:rPr>
          <w:rFonts w:ascii="Verdana" w:eastAsia="Times New Roman" w:hAnsi="Verdana"/>
          <w:b/>
        </w:rPr>
        <w:t>pprovals for Wallis Road Properties Sea Glass Lane Development on Wallis Road, a Retirement Community Development</w:t>
      </w:r>
      <w:r w:rsidR="00075C9E">
        <w:rPr>
          <w:rFonts w:ascii="Verdana" w:eastAsia="Times New Roman" w:hAnsi="Verdana"/>
          <w:b/>
        </w:rPr>
        <w:t xml:space="preserve"> (RCD)</w:t>
      </w:r>
    </w:p>
    <w:p w14:paraId="3A81D1CD" w14:textId="557F19E7" w:rsidR="00075C9E" w:rsidRDefault="00075C9E" w:rsidP="00753F19">
      <w:pPr>
        <w:pStyle w:val="NormalWeb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An Amendment to the Conditional Use Permit for this development is proposed by Wallis Road Properties for hearing at the July 8, 2014 Planning Board Meeting</w:t>
      </w:r>
    </w:p>
    <w:p w14:paraId="28CA269D" w14:textId="0F32B7FF" w:rsidR="00075C9E" w:rsidRDefault="00075C9E" w:rsidP="00075C9E">
      <w:pPr>
        <w:pStyle w:val="NormalWeb"/>
        <w:ind w:left="720"/>
        <w:rPr>
          <w:rFonts w:ascii="Verdana" w:eastAsia="Times New Roman" w:hAnsi="Verdana"/>
        </w:rPr>
      </w:pPr>
      <w:r w:rsidRPr="00FA1077">
        <w:rPr>
          <w:rFonts w:ascii="Verdana" w:hAnsi="Verdana"/>
          <w:b/>
          <w:color w:val="000000"/>
        </w:rPr>
        <w:t xml:space="preserve">Amendment to the Conditional Use Permit issued by the Rye Planning Board on 3/7/2014 for the property owned by Wallis Properties, LLC ...to change conditions #6 to change from 12 units allowed to be 2,160 </w:t>
      </w:r>
      <w:proofErr w:type="spellStart"/>
      <w:r w:rsidRPr="00FA1077">
        <w:rPr>
          <w:rFonts w:ascii="Verdana" w:hAnsi="Verdana"/>
          <w:b/>
          <w:color w:val="000000"/>
        </w:rPr>
        <w:t>s.f</w:t>
      </w:r>
      <w:proofErr w:type="spellEnd"/>
      <w:r w:rsidRPr="00FA1077">
        <w:rPr>
          <w:rFonts w:ascii="Verdana" w:hAnsi="Verdana"/>
          <w:b/>
          <w:color w:val="000000"/>
        </w:rPr>
        <w:t xml:space="preserve"> to all of the units; and Amendment to the Major Site Development to change condition #7 to allow for finished basements and request an administrative decision by the board that 3-seaon unheated sunrooms or porches be allowed.</w:t>
      </w:r>
    </w:p>
    <w:p w14:paraId="215A85C2" w14:textId="5FCAAD34" w:rsidR="00075C9E" w:rsidRDefault="00075C9E" w:rsidP="00753F19">
      <w:pPr>
        <w:pStyle w:val="NormalWeb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The following article describes past approvals, waivers, and variances for the project.</w:t>
      </w:r>
    </w:p>
    <w:p w14:paraId="736B7BAE" w14:textId="1C13B3E7" w:rsidR="00753F19" w:rsidRDefault="00AA31FC" w:rsidP="00753F19">
      <w:pPr>
        <w:pStyle w:val="NormalWeb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References are made to </w:t>
      </w:r>
      <w:r w:rsidR="00753F19">
        <w:rPr>
          <w:rFonts w:ascii="Verdana" w:eastAsia="Times New Roman" w:hAnsi="Verdana"/>
        </w:rPr>
        <w:t xml:space="preserve">the 2013 Rye Ordinance Section 401 Retirement Community Development (RCD) starting a page 40 </w:t>
      </w:r>
      <w:hyperlink r:id="rId6" w:history="1">
        <w:r w:rsidR="00753F19" w:rsidRPr="00B21541">
          <w:rPr>
            <w:rStyle w:val="Hyperlink"/>
            <w:rFonts w:ascii="Verdana" w:eastAsia="Times New Roman" w:hAnsi="Verdana"/>
          </w:rPr>
          <w:t>http://www.town.rye.nh.us/Pages/RyeNH_BComm/Planning/2013_Zoning_Ordinance.pdf</w:t>
        </w:r>
      </w:hyperlink>
    </w:p>
    <w:p w14:paraId="1A4F81B9" w14:textId="42B28EFF" w:rsidR="00F47FBA" w:rsidRDefault="00B747EE" w:rsidP="002D77B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Sections 401.4 (A)-(Q) Requirements for RCD’s</w:t>
      </w:r>
    </w:p>
    <w:p w14:paraId="773047CE" w14:textId="77777777" w:rsidR="00F47FBA" w:rsidRDefault="00F47FBA" w:rsidP="002D77BF">
      <w:pPr>
        <w:rPr>
          <w:rFonts w:ascii="Verdana" w:eastAsia="Times New Roman" w:hAnsi="Verdana" w:cs="Times New Roman"/>
          <w:sz w:val="20"/>
          <w:szCs w:val="20"/>
        </w:rPr>
      </w:pPr>
    </w:p>
    <w:p w14:paraId="123FB37B" w14:textId="1F780125" w:rsidR="00352BFB" w:rsidRDefault="002D77BF" w:rsidP="002D77B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2D77BF">
        <w:rPr>
          <w:rFonts w:ascii="Verdana" w:eastAsia="Times New Roman" w:hAnsi="Verdana" w:cs="Times New Roman"/>
          <w:b/>
          <w:sz w:val="20"/>
          <w:szCs w:val="20"/>
        </w:rPr>
        <w:t>The Land: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D77BF">
        <w:rPr>
          <w:rFonts w:ascii="Verdana" w:eastAsia="Times New Roman" w:hAnsi="Verdana" w:cs="Times New Roman"/>
          <w:sz w:val="20"/>
          <w:szCs w:val="20"/>
        </w:rPr>
        <w:t>As stated by the</w:t>
      </w:r>
      <w:r w:rsidR="00941A79">
        <w:rPr>
          <w:rFonts w:ascii="Verdana" w:eastAsia="Times New Roman" w:hAnsi="Verdana" w:cs="Times New Roman"/>
          <w:sz w:val="20"/>
          <w:szCs w:val="20"/>
        </w:rPr>
        <w:t xml:space="preserve"> applicant at different meetings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, there </w:t>
      </w:r>
      <w:r>
        <w:rPr>
          <w:rFonts w:ascii="Verdana" w:eastAsia="Times New Roman" w:hAnsi="Verdana" w:cs="Times New Roman"/>
          <w:sz w:val="20"/>
          <w:szCs w:val="20"/>
        </w:rPr>
        <w:t>are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 90+ acres of land in total. The project is made up of three main parts. </w:t>
      </w:r>
    </w:p>
    <w:p w14:paraId="30D54316" w14:textId="338A1194" w:rsidR="00352BFB" w:rsidRDefault="002D77BF" w:rsidP="00352BFB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2D77BF">
        <w:rPr>
          <w:rFonts w:ascii="Verdana" w:eastAsia="Times New Roman" w:hAnsi="Verdana" w:cs="Times New Roman"/>
          <w:sz w:val="20"/>
          <w:szCs w:val="20"/>
        </w:rPr>
        <w:t xml:space="preserve">A lot line revision was done to put a large "back parcel" " into potential conservation; but there is still pending </w:t>
      </w:r>
      <w:r w:rsidR="00941A79">
        <w:rPr>
          <w:rFonts w:ascii="Verdana" w:eastAsia="Times New Roman" w:hAnsi="Verdana" w:cs="Times New Roman"/>
          <w:sz w:val="20"/>
          <w:szCs w:val="20"/>
        </w:rPr>
        <w:t xml:space="preserve">negotiations and 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approval to move forward. </w:t>
      </w:r>
    </w:p>
    <w:p w14:paraId="007B6ED3" w14:textId="3CA88954" w:rsidR="00352BFB" w:rsidRDefault="002D77BF" w:rsidP="00352BFB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2D77BF">
        <w:rPr>
          <w:rFonts w:ascii="Verdana" w:eastAsia="Times New Roman" w:hAnsi="Verdana" w:cs="Times New Roman"/>
          <w:sz w:val="20"/>
          <w:szCs w:val="20"/>
        </w:rPr>
        <w:t>The second part is the Retirement Community Development (RCD) for twenty (20) homes in condominium ownership, which is made up of approximately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17 acres with </w:t>
      </w:r>
      <w:r w:rsidR="00941A79">
        <w:rPr>
          <w:rFonts w:ascii="Verdana" w:eastAsia="Times New Roman" w:hAnsi="Verdana" w:cs="Times New Roman"/>
          <w:sz w:val="20"/>
          <w:szCs w:val="20"/>
        </w:rPr>
        <w:t xml:space="preserve">approx. </w:t>
      </w:r>
      <w:r w:rsidRPr="002D77BF">
        <w:rPr>
          <w:rFonts w:ascii="Verdana" w:eastAsia="Times New Roman" w:hAnsi="Verdana" w:cs="Times New Roman"/>
          <w:sz w:val="20"/>
          <w:szCs w:val="20"/>
        </w:rPr>
        <w:t>11</w:t>
      </w:r>
      <w:r w:rsidR="00941A79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acres remaining in conservation</w:t>
      </w:r>
      <w:r w:rsidR="00941A79">
        <w:rPr>
          <w:rFonts w:ascii="Verdana" w:eastAsia="Times New Roman" w:hAnsi="Verdana" w:cs="Times New Roman"/>
          <w:sz w:val="20"/>
          <w:szCs w:val="20"/>
        </w:rPr>
        <w:t xml:space="preserve"> common space</w:t>
      </w:r>
      <w:r>
        <w:rPr>
          <w:rFonts w:ascii="Verdana" w:eastAsia="Times New Roman" w:hAnsi="Verdana" w:cs="Times New Roman"/>
          <w:sz w:val="20"/>
          <w:szCs w:val="20"/>
        </w:rPr>
        <w:t xml:space="preserve"> thus meeting the RCD </w:t>
      </w:r>
      <w:r w:rsidR="00352BFB">
        <w:rPr>
          <w:rFonts w:ascii="Verdana" w:eastAsia="Times New Roman" w:hAnsi="Verdana" w:cs="Times New Roman"/>
          <w:sz w:val="20"/>
          <w:szCs w:val="20"/>
        </w:rPr>
        <w:t xml:space="preserve">requirement for overall </w:t>
      </w:r>
      <w:r w:rsidR="00BA4E81">
        <w:rPr>
          <w:rFonts w:ascii="Verdana" w:eastAsia="Times New Roman" w:hAnsi="Verdana" w:cs="Times New Roman"/>
          <w:sz w:val="20"/>
          <w:szCs w:val="20"/>
        </w:rPr>
        <w:t xml:space="preserve">(B) </w:t>
      </w:r>
      <w:r w:rsidR="00352BFB">
        <w:rPr>
          <w:rFonts w:ascii="Verdana" w:eastAsia="Times New Roman" w:hAnsi="Verdana" w:cs="Times New Roman"/>
          <w:sz w:val="20"/>
          <w:szCs w:val="20"/>
        </w:rPr>
        <w:t xml:space="preserve">Parcel Size </w:t>
      </w:r>
      <w:r>
        <w:rPr>
          <w:rFonts w:ascii="Verdana" w:eastAsia="Times New Roman" w:hAnsi="Verdana" w:cs="Times New Roman"/>
          <w:sz w:val="20"/>
          <w:szCs w:val="20"/>
        </w:rPr>
        <w:t xml:space="preserve">of more than 10 acres and that </w:t>
      </w:r>
      <w:r w:rsidR="00BA4E81">
        <w:rPr>
          <w:rFonts w:ascii="Verdana" w:eastAsia="Times New Roman" w:hAnsi="Verdana" w:cs="Times New Roman"/>
          <w:sz w:val="20"/>
          <w:szCs w:val="20"/>
        </w:rPr>
        <w:t xml:space="preserve">(P) </w:t>
      </w:r>
      <w:r w:rsidR="00941A79">
        <w:rPr>
          <w:rFonts w:ascii="Verdana" w:eastAsia="Times New Roman" w:hAnsi="Verdana" w:cs="Times New Roman"/>
          <w:sz w:val="20"/>
          <w:szCs w:val="20"/>
        </w:rPr>
        <w:t xml:space="preserve">that </w:t>
      </w:r>
      <w:r>
        <w:rPr>
          <w:rFonts w:ascii="Verdana" w:eastAsia="Times New Roman" w:hAnsi="Verdana" w:cs="Times New Roman"/>
          <w:sz w:val="20"/>
          <w:szCs w:val="20"/>
        </w:rPr>
        <w:t>at least 50% (actual 6</w:t>
      </w:r>
      <w:r w:rsidR="00941A79">
        <w:rPr>
          <w:rFonts w:ascii="Verdana" w:eastAsia="Times New Roman" w:hAnsi="Verdana" w:cs="Times New Roman"/>
          <w:sz w:val="20"/>
          <w:szCs w:val="20"/>
        </w:rPr>
        <w:t>4</w:t>
      </w:r>
      <w:r>
        <w:rPr>
          <w:rFonts w:ascii="Verdana" w:eastAsia="Times New Roman" w:hAnsi="Verdana" w:cs="Times New Roman"/>
          <w:sz w:val="20"/>
          <w:szCs w:val="20"/>
        </w:rPr>
        <w:t>%) remain in common protected open space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1A57413D" w14:textId="50524F9F" w:rsidR="002D77BF" w:rsidRDefault="002D77BF" w:rsidP="00352BFB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</w:rPr>
      </w:pPr>
      <w:r w:rsidRPr="002D77BF">
        <w:rPr>
          <w:rFonts w:ascii="Verdana" w:eastAsia="Times New Roman" w:hAnsi="Verdana" w:cs="Times New Roman"/>
          <w:sz w:val="20"/>
          <w:szCs w:val="20"/>
        </w:rPr>
        <w:t xml:space="preserve">The third </w:t>
      </w:r>
      <w:r>
        <w:rPr>
          <w:rFonts w:ascii="Verdana" w:eastAsia="Times New Roman" w:hAnsi="Verdana" w:cs="Times New Roman"/>
          <w:sz w:val="20"/>
          <w:szCs w:val="20"/>
        </w:rPr>
        <w:t>part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 is </w:t>
      </w:r>
      <w:r w:rsidR="00645E79">
        <w:rPr>
          <w:rFonts w:ascii="Verdana" w:eastAsia="Times New Roman" w:hAnsi="Verdana" w:cs="Times New Roman"/>
          <w:sz w:val="20"/>
          <w:szCs w:val="20"/>
        </w:rPr>
        <w:t>a</w:t>
      </w:r>
      <w:r w:rsidR="00F47FBA">
        <w:rPr>
          <w:rFonts w:ascii="Verdana" w:eastAsia="Times New Roman" w:hAnsi="Verdana" w:cs="Times New Roman"/>
          <w:sz w:val="20"/>
          <w:szCs w:val="20"/>
        </w:rPr>
        <w:t xml:space="preserve"> separate 1 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acre lot, which houses the </w:t>
      </w:r>
      <w:r>
        <w:rPr>
          <w:rFonts w:ascii="Verdana" w:eastAsia="Times New Roman" w:hAnsi="Verdana" w:cs="Times New Roman"/>
          <w:sz w:val="20"/>
          <w:szCs w:val="20"/>
        </w:rPr>
        <w:t xml:space="preserve">existing 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barn </w:t>
      </w:r>
      <w:r w:rsidR="00F47FBA">
        <w:rPr>
          <w:rFonts w:ascii="Verdana" w:eastAsia="Times New Roman" w:hAnsi="Verdana" w:cs="Times New Roman"/>
          <w:sz w:val="20"/>
          <w:szCs w:val="20"/>
        </w:rPr>
        <w:t>with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 access</w:t>
      </w:r>
      <w:r w:rsidR="00F47FBA">
        <w:rPr>
          <w:rFonts w:ascii="Verdana" w:eastAsia="Times New Roman" w:hAnsi="Verdana" w:cs="Times New Roman"/>
          <w:sz w:val="20"/>
          <w:szCs w:val="20"/>
        </w:rPr>
        <w:t xml:space="preserve"> across this lot</w:t>
      </w:r>
      <w:r w:rsidRPr="002D77BF">
        <w:rPr>
          <w:rFonts w:ascii="Verdana" w:eastAsia="Times New Roman" w:hAnsi="Verdana" w:cs="Times New Roman"/>
          <w:sz w:val="20"/>
          <w:szCs w:val="20"/>
        </w:rPr>
        <w:t xml:space="preserve"> granted</w:t>
      </w:r>
      <w:r w:rsidR="00F47FBA">
        <w:rPr>
          <w:rFonts w:ascii="Verdana" w:eastAsia="Times New Roman" w:hAnsi="Verdana" w:cs="Times New Roman"/>
          <w:sz w:val="20"/>
          <w:szCs w:val="20"/>
        </w:rPr>
        <w:t xml:space="preserve"> via an easement to the RCD</w:t>
      </w:r>
      <w:r w:rsidR="00BA4E81">
        <w:rPr>
          <w:rFonts w:ascii="Verdana" w:eastAsia="Times New Roman" w:hAnsi="Verdana" w:cs="Times New Roman"/>
          <w:sz w:val="20"/>
          <w:szCs w:val="20"/>
        </w:rPr>
        <w:t xml:space="preserve"> with a variance granted for lack of frontage by the Zoning Board of Adjustment as the RCD lot does not have the street frontage required by (C)</w:t>
      </w:r>
      <w:r w:rsidR="0088276E">
        <w:rPr>
          <w:rFonts w:ascii="Verdana" w:eastAsia="Times New Roman" w:hAnsi="Verdana" w:cs="Times New Roman"/>
          <w:sz w:val="20"/>
          <w:szCs w:val="20"/>
        </w:rPr>
        <w:t xml:space="preserve"> Frontage.</w:t>
      </w:r>
    </w:p>
    <w:p w14:paraId="206E7790" w14:textId="77777777" w:rsidR="002D77BF" w:rsidRPr="002D77BF" w:rsidRDefault="008403EF" w:rsidP="002D77B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(L) </w:t>
      </w:r>
      <w:r w:rsidR="00352BFB">
        <w:rPr>
          <w:rFonts w:ascii="Verdana" w:eastAsia="Times New Roman" w:hAnsi="Verdana" w:cs="Times New Roman"/>
          <w:b/>
          <w:sz w:val="20"/>
          <w:szCs w:val="20"/>
        </w:rPr>
        <w:t>Occupancy</w:t>
      </w:r>
      <w:r w:rsidR="002D77BF">
        <w:rPr>
          <w:rFonts w:ascii="Verdana" w:eastAsia="Times New Roman" w:hAnsi="Verdana" w:cs="Times New Roman"/>
          <w:b/>
          <w:sz w:val="20"/>
          <w:szCs w:val="20"/>
        </w:rPr>
        <w:t xml:space="preserve">: </w:t>
      </w:r>
      <w:r w:rsidR="002D77BF">
        <w:rPr>
          <w:rFonts w:ascii="Verdana" w:eastAsia="Times New Roman" w:hAnsi="Verdana" w:cs="Times New Roman"/>
          <w:sz w:val="20"/>
          <w:szCs w:val="20"/>
        </w:rPr>
        <w:t>waived to allow up to 75 days occupancy per 12 month period by persons under 62.</w:t>
      </w:r>
    </w:p>
    <w:p w14:paraId="48ED8958" w14:textId="77777777" w:rsidR="00F47FBA" w:rsidRDefault="00352BFB" w:rsidP="00352BF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(M) Living</w:t>
      </w:r>
      <w:r w:rsidR="002D77BF" w:rsidRPr="00352BFB">
        <w:rPr>
          <w:rFonts w:ascii="Verdana" w:eastAsia="Times New Roman" w:hAnsi="Verdana" w:cs="Times New Roman"/>
          <w:b/>
          <w:sz w:val="20"/>
          <w:szCs w:val="20"/>
        </w:rPr>
        <w:t xml:space="preserve"> Space and </w:t>
      </w:r>
      <w:r w:rsidR="008403EF" w:rsidRPr="00352BFB">
        <w:rPr>
          <w:rFonts w:ascii="Verdana" w:eastAsia="Times New Roman" w:hAnsi="Verdana" w:cs="Times New Roman"/>
          <w:b/>
          <w:sz w:val="20"/>
          <w:szCs w:val="20"/>
        </w:rPr>
        <w:t xml:space="preserve">(P) </w:t>
      </w:r>
      <w:r w:rsidR="002D77BF" w:rsidRPr="00352BFB">
        <w:rPr>
          <w:rFonts w:ascii="Verdana" w:eastAsia="Times New Roman" w:hAnsi="Verdana" w:cs="Times New Roman"/>
          <w:b/>
          <w:sz w:val="20"/>
          <w:szCs w:val="20"/>
        </w:rPr>
        <w:t xml:space="preserve">Cluster Bonus for up to 20 units: </w:t>
      </w:r>
    </w:p>
    <w:p w14:paraId="5BBAD5BD" w14:textId="77777777" w:rsidR="00F47FBA" w:rsidRPr="00F47FBA" w:rsidRDefault="002D77BF" w:rsidP="00F47FBA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52BFB">
        <w:rPr>
          <w:rFonts w:ascii="Verdana" w:eastAsia="Times New Roman" w:hAnsi="Verdana" w:cs="Times New Roman"/>
          <w:sz w:val="20"/>
          <w:szCs w:val="20"/>
        </w:rPr>
        <w:t>During Special Use Permitting the applicant stated that they would build units below the 1800 square foot maximum living space and were granted the cluster bonus</w:t>
      </w:r>
      <w:r w:rsidR="00352BFB">
        <w:rPr>
          <w:rFonts w:ascii="Verdana" w:eastAsia="Times New Roman" w:hAnsi="Verdana" w:cs="Times New Roman"/>
          <w:sz w:val="20"/>
          <w:szCs w:val="20"/>
        </w:rPr>
        <w:t xml:space="preserve"> of up to 20 units</w:t>
      </w:r>
      <w:r w:rsidRPr="00352BFB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29A690DF" w14:textId="77777777" w:rsidR="00F47FBA" w:rsidRPr="00F47FBA" w:rsidRDefault="002D77BF" w:rsidP="00F47FBA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52BFB">
        <w:rPr>
          <w:rFonts w:ascii="Verdana" w:eastAsia="Times New Roman" w:hAnsi="Verdana" w:cs="Times New Roman"/>
          <w:sz w:val="20"/>
          <w:szCs w:val="20"/>
        </w:rPr>
        <w:t xml:space="preserve">Subsequently they requested a waiver to build 12 of the units to a maximum 2160 square feet of living space. </w:t>
      </w:r>
      <w:r w:rsidR="00352BFB" w:rsidRPr="00352BFB">
        <w:rPr>
          <w:rFonts w:ascii="Verdana" w:eastAsia="Times New Roman" w:hAnsi="Verdana" w:cs="Times New Roman"/>
          <w:sz w:val="20"/>
          <w:szCs w:val="20"/>
        </w:rPr>
        <w:t xml:space="preserve">The 1800 square foot maximum living space in the Ordinance was intended to encourage more affordable units as they </w:t>
      </w:r>
      <w:r w:rsidR="00352BFB">
        <w:rPr>
          <w:rFonts w:ascii="Verdana" w:eastAsia="Times New Roman" w:hAnsi="Verdana" w:cs="Times New Roman"/>
          <w:sz w:val="20"/>
          <w:szCs w:val="20"/>
        </w:rPr>
        <w:t>are</w:t>
      </w:r>
      <w:r w:rsidR="00352BFB" w:rsidRPr="00352BFB">
        <w:rPr>
          <w:rFonts w:ascii="Verdana" w:eastAsia="Times New Roman" w:hAnsi="Verdana" w:cs="Times New Roman"/>
          <w:sz w:val="20"/>
          <w:szCs w:val="20"/>
        </w:rPr>
        <w:t xml:space="preserve"> smaller. The applicant proposed zero un</w:t>
      </w:r>
      <w:r w:rsidR="00F47FBA">
        <w:rPr>
          <w:rFonts w:ascii="Verdana" w:eastAsia="Times New Roman" w:hAnsi="Verdana" w:cs="Times New Roman"/>
          <w:sz w:val="20"/>
          <w:szCs w:val="20"/>
        </w:rPr>
        <w:t xml:space="preserve">its as a potential additional 2 </w:t>
      </w:r>
      <w:r w:rsidR="00352BFB" w:rsidRPr="00352BFB">
        <w:rPr>
          <w:rFonts w:ascii="Verdana" w:eastAsia="Times New Roman" w:hAnsi="Verdana" w:cs="Times New Roman"/>
          <w:sz w:val="20"/>
          <w:szCs w:val="20"/>
        </w:rPr>
        <w:t xml:space="preserve">unit bonus as classified by town standards as an </w:t>
      </w:r>
      <w:r w:rsidR="00F47FBA">
        <w:rPr>
          <w:rFonts w:ascii="Verdana" w:eastAsia="Times New Roman" w:hAnsi="Verdana" w:cs="Times New Roman"/>
          <w:sz w:val="20"/>
          <w:szCs w:val="20"/>
        </w:rPr>
        <w:t>“</w:t>
      </w:r>
      <w:r w:rsidR="00352BFB" w:rsidRPr="00352BFB">
        <w:rPr>
          <w:rFonts w:ascii="Verdana" w:eastAsia="Times New Roman" w:hAnsi="Verdana" w:cs="Times New Roman"/>
          <w:sz w:val="20"/>
          <w:szCs w:val="20"/>
        </w:rPr>
        <w:t>affordable housing unit</w:t>
      </w:r>
      <w:r w:rsidR="00F47FBA">
        <w:rPr>
          <w:rFonts w:ascii="Verdana" w:eastAsia="Times New Roman" w:hAnsi="Verdana" w:cs="Times New Roman"/>
          <w:sz w:val="20"/>
          <w:szCs w:val="20"/>
        </w:rPr>
        <w:t>”</w:t>
      </w:r>
      <w:r w:rsidR="00352BFB" w:rsidRPr="00352BFB">
        <w:rPr>
          <w:rFonts w:ascii="Verdana" w:eastAsia="Times New Roman" w:hAnsi="Verdana" w:cs="Times New Roman"/>
          <w:sz w:val="20"/>
          <w:szCs w:val="20"/>
        </w:rPr>
        <w:t xml:space="preserve"> (elderly property tax exemption asset and income limits and overall if owned principal, interest, and HOA fees not to exceed 40%). </w:t>
      </w:r>
    </w:p>
    <w:p w14:paraId="76109359" w14:textId="22EA1C78" w:rsidR="00352BFB" w:rsidRPr="00352BFB" w:rsidRDefault="002D77BF" w:rsidP="00F47FBA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52BFB">
        <w:rPr>
          <w:rFonts w:ascii="Verdana" w:eastAsia="Times New Roman" w:hAnsi="Verdana" w:cs="Times New Roman"/>
          <w:sz w:val="20"/>
          <w:szCs w:val="20"/>
        </w:rPr>
        <w:lastRenderedPageBreak/>
        <w:t xml:space="preserve">At </w:t>
      </w:r>
      <w:r w:rsidR="00BA4E81">
        <w:rPr>
          <w:rFonts w:ascii="Verdana" w:eastAsia="Times New Roman" w:hAnsi="Verdana" w:cs="Times New Roman"/>
          <w:sz w:val="20"/>
          <w:szCs w:val="20"/>
        </w:rPr>
        <w:t>the 6/24/14</w:t>
      </w:r>
      <w:r w:rsidRPr="00352BFB">
        <w:rPr>
          <w:rFonts w:ascii="Verdana" w:eastAsia="Times New Roman" w:hAnsi="Verdana" w:cs="Times New Roman"/>
          <w:sz w:val="20"/>
          <w:szCs w:val="20"/>
        </w:rPr>
        <w:t xml:space="preserve"> Planning Board Technical Review Committee</w:t>
      </w:r>
      <w:r w:rsidR="00075C9E">
        <w:rPr>
          <w:rFonts w:ascii="Verdana" w:eastAsia="Times New Roman" w:hAnsi="Verdana" w:cs="Times New Roman"/>
          <w:sz w:val="20"/>
          <w:szCs w:val="20"/>
        </w:rPr>
        <w:t xml:space="preserve"> and for the July 8, 2014 Planning Board</w:t>
      </w:r>
      <w:r w:rsidRPr="00352BF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A4E81">
        <w:rPr>
          <w:rFonts w:ascii="Verdana" w:eastAsia="Times New Roman" w:hAnsi="Verdana" w:cs="Times New Roman"/>
          <w:sz w:val="20"/>
          <w:szCs w:val="20"/>
        </w:rPr>
        <w:t xml:space="preserve">meeting the applicant requested </w:t>
      </w:r>
      <w:r w:rsidRPr="00352BFB">
        <w:rPr>
          <w:rFonts w:ascii="Verdana" w:eastAsia="Times New Roman" w:hAnsi="Verdana" w:cs="Times New Roman"/>
          <w:sz w:val="20"/>
          <w:szCs w:val="20"/>
        </w:rPr>
        <w:t>that all</w:t>
      </w:r>
      <w:r w:rsidR="00BA4E81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Pr="00352BFB">
        <w:rPr>
          <w:rFonts w:ascii="Verdana" w:eastAsia="Times New Roman" w:hAnsi="Verdana" w:cs="Times New Roman"/>
          <w:sz w:val="20"/>
          <w:szCs w:val="20"/>
        </w:rPr>
        <w:t>20 units be up to 2160 square feet</w:t>
      </w:r>
      <w:r w:rsidR="00BA4E81">
        <w:rPr>
          <w:rFonts w:ascii="Verdana" w:eastAsia="Times New Roman" w:hAnsi="Verdana" w:cs="Times New Roman"/>
          <w:sz w:val="20"/>
          <w:szCs w:val="20"/>
        </w:rPr>
        <w:t xml:space="preserve">, that permission be given to finish the basement (approximately 600 square feet), and that roof covered screen or 3 season decks/porches be permitted. </w:t>
      </w:r>
    </w:p>
    <w:p w14:paraId="74F1C373" w14:textId="264CFFF0" w:rsidR="002D77BF" w:rsidRPr="00352BFB" w:rsidRDefault="00352BFB" w:rsidP="00352BF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52BFB">
        <w:rPr>
          <w:rFonts w:ascii="Verdana" w:eastAsia="Times New Roman" w:hAnsi="Verdana" w:cs="Times New Roman"/>
          <w:b/>
          <w:sz w:val="20"/>
          <w:szCs w:val="20"/>
        </w:rPr>
        <w:t xml:space="preserve">(N) </w:t>
      </w:r>
      <w:r w:rsidR="002D77BF" w:rsidRPr="00352BFB">
        <w:rPr>
          <w:rFonts w:ascii="Verdana" w:eastAsia="Times New Roman" w:hAnsi="Verdana" w:cs="Times New Roman"/>
          <w:b/>
          <w:sz w:val="20"/>
          <w:szCs w:val="20"/>
        </w:rPr>
        <w:t xml:space="preserve">Parking: </w:t>
      </w:r>
      <w:r w:rsidR="002D77BF" w:rsidRPr="00352BFB">
        <w:rPr>
          <w:rFonts w:ascii="Verdana" w:eastAsia="Times New Roman" w:hAnsi="Verdana" w:cs="Times New Roman"/>
          <w:sz w:val="20"/>
          <w:szCs w:val="20"/>
        </w:rPr>
        <w:t>The Ordinance call</w:t>
      </w:r>
      <w:r w:rsidR="008403EF" w:rsidRPr="00352BFB">
        <w:rPr>
          <w:rFonts w:ascii="Verdana" w:eastAsia="Times New Roman" w:hAnsi="Verdana" w:cs="Times New Roman"/>
          <w:sz w:val="20"/>
          <w:szCs w:val="20"/>
        </w:rPr>
        <w:t>s for a one-</w:t>
      </w:r>
      <w:r w:rsidR="002D77BF" w:rsidRPr="00352BFB">
        <w:rPr>
          <w:rFonts w:ascii="Verdana" w:eastAsia="Times New Roman" w:hAnsi="Verdana" w:cs="Times New Roman"/>
          <w:sz w:val="20"/>
          <w:szCs w:val="20"/>
        </w:rPr>
        <w:t>car garage and one other space. The applicant proposed and was gra</w:t>
      </w:r>
      <w:r w:rsidR="00F47FBA">
        <w:rPr>
          <w:rFonts w:ascii="Verdana" w:eastAsia="Times New Roman" w:hAnsi="Verdana" w:cs="Times New Roman"/>
          <w:sz w:val="20"/>
          <w:szCs w:val="20"/>
        </w:rPr>
        <w:t>nted a 24 x 22 foot garage, a 2-</w:t>
      </w:r>
      <w:r w:rsidR="002D77BF" w:rsidRPr="00352BFB">
        <w:rPr>
          <w:rFonts w:ascii="Verdana" w:eastAsia="Times New Roman" w:hAnsi="Verdana" w:cs="Times New Roman"/>
          <w:sz w:val="20"/>
          <w:szCs w:val="20"/>
        </w:rPr>
        <w:t>car garage. Subsequently it was determined that this change is more than 20%</w:t>
      </w:r>
      <w:r w:rsidR="00645E79">
        <w:rPr>
          <w:rFonts w:ascii="Verdana" w:eastAsia="Times New Roman" w:hAnsi="Verdana" w:cs="Times New Roman"/>
          <w:sz w:val="20"/>
          <w:szCs w:val="20"/>
        </w:rPr>
        <w:t xml:space="preserve"> and further not subject to a potential waiver</w:t>
      </w:r>
      <w:r w:rsidR="002D77BF" w:rsidRPr="00352BFB">
        <w:rPr>
          <w:rFonts w:ascii="Verdana" w:eastAsia="Times New Roman" w:hAnsi="Verdana" w:cs="Times New Roman"/>
          <w:sz w:val="20"/>
          <w:szCs w:val="20"/>
        </w:rPr>
        <w:t xml:space="preserve"> and thus “not allowed” by the RCD Ordinance. The Planning Board made an “administrative determination” that a 2 car garage meets the requirements of Section 401.4 (N)</w:t>
      </w:r>
    </w:p>
    <w:p w14:paraId="79E4185F" w14:textId="05699C24" w:rsidR="002D77BF" w:rsidRPr="002D77BF" w:rsidRDefault="00F47FBA" w:rsidP="002D77B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401.</w:t>
      </w:r>
      <w:r w:rsidR="00B747EE">
        <w:rPr>
          <w:rFonts w:ascii="Verdana" w:eastAsia="Times New Roman" w:hAnsi="Verdana" w:cs="Times New Roman"/>
          <w:b/>
          <w:sz w:val="20"/>
          <w:szCs w:val="20"/>
        </w:rPr>
        <w:t>8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Waivers: </w:t>
      </w:r>
      <w:r w:rsidR="002D77BF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654298">
        <w:rPr>
          <w:rFonts w:ascii="Verdana" w:eastAsia="Times New Roman" w:hAnsi="Verdana" w:cs="Times New Roman"/>
          <w:sz w:val="20"/>
          <w:szCs w:val="20"/>
        </w:rPr>
        <w:t xml:space="preserve">2006 </w:t>
      </w:r>
      <w:r w:rsidR="002D77BF">
        <w:rPr>
          <w:rFonts w:ascii="Verdana" w:eastAsia="Times New Roman" w:hAnsi="Verdana" w:cs="Times New Roman"/>
          <w:sz w:val="20"/>
          <w:szCs w:val="20"/>
        </w:rPr>
        <w:t>RCD Ordinance</w:t>
      </w:r>
      <w:r w:rsidR="000559B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747EE">
        <w:rPr>
          <w:rFonts w:ascii="Verdana" w:eastAsia="Times New Roman" w:hAnsi="Verdana" w:cs="Times New Roman"/>
          <w:sz w:val="20"/>
          <w:szCs w:val="20"/>
        </w:rPr>
        <w:t xml:space="preserve">(amended </w:t>
      </w:r>
      <w:r w:rsidR="00941A79">
        <w:rPr>
          <w:rFonts w:ascii="Verdana" w:eastAsia="Times New Roman" w:hAnsi="Verdana" w:cs="Times New Roman"/>
          <w:sz w:val="20"/>
          <w:szCs w:val="20"/>
        </w:rPr>
        <w:t>to 2013</w:t>
      </w:r>
      <w:r w:rsidR="00B747EE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2D77BF">
        <w:rPr>
          <w:rFonts w:ascii="Verdana" w:eastAsia="Times New Roman" w:hAnsi="Verdana" w:cs="Times New Roman"/>
          <w:sz w:val="20"/>
          <w:szCs w:val="20"/>
        </w:rPr>
        <w:t xml:space="preserve">as written and approved by </w:t>
      </w:r>
      <w:r w:rsidR="00B747EE">
        <w:rPr>
          <w:rFonts w:ascii="Verdana" w:eastAsia="Times New Roman" w:hAnsi="Verdana" w:cs="Times New Roman"/>
          <w:sz w:val="20"/>
          <w:szCs w:val="20"/>
        </w:rPr>
        <w:t xml:space="preserve">the voters only allows waivers </w:t>
      </w:r>
      <w:r w:rsidR="002D77BF">
        <w:rPr>
          <w:rFonts w:ascii="Verdana" w:eastAsia="Times New Roman" w:hAnsi="Verdana" w:cs="Times New Roman"/>
          <w:sz w:val="20"/>
          <w:szCs w:val="20"/>
        </w:rPr>
        <w:t xml:space="preserve">that do not deviate from the requirements by more than 20% </w:t>
      </w:r>
      <w:r w:rsidR="00352BFB">
        <w:rPr>
          <w:rFonts w:ascii="Verdana" w:eastAsia="Times New Roman" w:hAnsi="Verdana" w:cs="Times New Roman"/>
          <w:sz w:val="20"/>
          <w:szCs w:val="20"/>
        </w:rPr>
        <w:t xml:space="preserve">and only </w:t>
      </w:r>
      <w:r w:rsidR="002D77BF">
        <w:rPr>
          <w:rFonts w:ascii="Verdana" w:eastAsia="Times New Roman" w:hAnsi="Verdana" w:cs="Times New Roman"/>
          <w:sz w:val="20"/>
          <w:szCs w:val="20"/>
        </w:rPr>
        <w:t>for (C)</w:t>
      </w:r>
      <w:r w:rsidR="008403EF">
        <w:rPr>
          <w:rFonts w:ascii="Verdana" w:eastAsia="Times New Roman" w:hAnsi="Verdana" w:cs="Times New Roman"/>
          <w:sz w:val="20"/>
          <w:szCs w:val="20"/>
        </w:rPr>
        <w:t xml:space="preserve"> Frontage</w:t>
      </w:r>
      <w:r w:rsidR="002D77BF">
        <w:rPr>
          <w:rFonts w:ascii="Verdana" w:eastAsia="Times New Roman" w:hAnsi="Verdana" w:cs="Times New Roman"/>
          <w:sz w:val="20"/>
          <w:szCs w:val="20"/>
        </w:rPr>
        <w:t xml:space="preserve"> (E)</w:t>
      </w:r>
      <w:r w:rsidR="008403EF">
        <w:rPr>
          <w:rFonts w:ascii="Verdana" w:eastAsia="Times New Roman" w:hAnsi="Verdana" w:cs="Times New Roman"/>
          <w:sz w:val="20"/>
          <w:szCs w:val="20"/>
        </w:rPr>
        <w:t xml:space="preserve"> Density </w:t>
      </w:r>
      <w:r w:rsidR="002D77BF">
        <w:rPr>
          <w:rFonts w:ascii="Verdana" w:eastAsia="Times New Roman" w:hAnsi="Verdana" w:cs="Times New Roman"/>
          <w:sz w:val="20"/>
          <w:szCs w:val="20"/>
        </w:rPr>
        <w:t>(J) or (K)</w:t>
      </w:r>
      <w:r w:rsidR="008403EF">
        <w:rPr>
          <w:rFonts w:ascii="Verdana" w:eastAsia="Times New Roman" w:hAnsi="Verdana" w:cs="Times New Roman"/>
          <w:sz w:val="20"/>
          <w:szCs w:val="20"/>
        </w:rPr>
        <w:t xml:space="preserve"> Buffer</w:t>
      </w:r>
      <w:r w:rsidR="002D77BF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8403EF">
        <w:rPr>
          <w:rFonts w:ascii="Verdana" w:eastAsia="Times New Roman" w:hAnsi="Verdana" w:cs="Times New Roman"/>
          <w:sz w:val="20"/>
          <w:szCs w:val="20"/>
        </w:rPr>
        <w:t xml:space="preserve">Waivers or effectively waivers </w:t>
      </w:r>
      <w:r w:rsidR="00352BFB">
        <w:rPr>
          <w:rFonts w:ascii="Verdana" w:eastAsia="Times New Roman" w:hAnsi="Verdana" w:cs="Times New Roman"/>
          <w:sz w:val="20"/>
          <w:szCs w:val="20"/>
        </w:rPr>
        <w:t xml:space="preserve">through administrative determination </w:t>
      </w:r>
      <w:r w:rsidR="008403EF">
        <w:rPr>
          <w:rFonts w:ascii="Verdana" w:eastAsia="Times New Roman" w:hAnsi="Verdana" w:cs="Times New Roman"/>
          <w:sz w:val="20"/>
          <w:szCs w:val="20"/>
        </w:rPr>
        <w:t xml:space="preserve">were granted for </w:t>
      </w:r>
      <w:r w:rsidR="00352BFB">
        <w:rPr>
          <w:rFonts w:ascii="Verdana" w:eastAsia="Times New Roman" w:hAnsi="Verdana" w:cs="Times New Roman"/>
          <w:sz w:val="20"/>
          <w:szCs w:val="20"/>
        </w:rPr>
        <w:t xml:space="preserve">(L) Occupancy, (M) Living Space, (N) Parking. </w:t>
      </w:r>
      <w:r>
        <w:rPr>
          <w:rFonts w:ascii="Verdana" w:eastAsia="Times New Roman" w:hAnsi="Verdana" w:cs="Times New Roman"/>
          <w:sz w:val="20"/>
          <w:szCs w:val="20"/>
        </w:rPr>
        <w:t xml:space="preserve">The Ordinance was subsequently amended and approved by the voters to correct what was termed a “typo” </w:t>
      </w:r>
      <w:r w:rsidR="00B747EE">
        <w:rPr>
          <w:rFonts w:ascii="Verdana" w:eastAsia="Times New Roman" w:hAnsi="Verdana" w:cs="Times New Roman"/>
          <w:sz w:val="20"/>
          <w:szCs w:val="20"/>
        </w:rPr>
        <w:t>and</w:t>
      </w:r>
      <w:r w:rsidR="00C52F34">
        <w:rPr>
          <w:rFonts w:ascii="Verdana" w:eastAsia="Times New Roman" w:hAnsi="Verdana" w:cs="Times New Roman"/>
          <w:sz w:val="20"/>
          <w:szCs w:val="20"/>
        </w:rPr>
        <w:t xml:space="preserve"> now lists</w:t>
      </w:r>
      <w:r>
        <w:rPr>
          <w:rFonts w:ascii="Verdana" w:eastAsia="Times New Roman" w:hAnsi="Verdana" w:cs="Times New Roman"/>
          <w:sz w:val="20"/>
          <w:szCs w:val="20"/>
        </w:rPr>
        <w:t xml:space="preserve"> additional elements that could be waived. </w:t>
      </w:r>
    </w:p>
    <w:p w14:paraId="3E87EF9F" w14:textId="77777777" w:rsidR="00C1409D" w:rsidRDefault="00C1409D"/>
    <w:sectPr w:rsidR="00C1409D" w:rsidSect="00AA31FC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BFB"/>
    <w:multiLevelType w:val="hybridMultilevel"/>
    <w:tmpl w:val="62329DE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BF"/>
    <w:rsid w:val="000559B9"/>
    <w:rsid w:val="00075C9E"/>
    <w:rsid w:val="002D77BF"/>
    <w:rsid w:val="00352BFB"/>
    <w:rsid w:val="004A7910"/>
    <w:rsid w:val="00645E79"/>
    <w:rsid w:val="00654298"/>
    <w:rsid w:val="00753F19"/>
    <w:rsid w:val="007A0BC4"/>
    <w:rsid w:val="008403EF"/>
    <w:rsid w:val="0088276E"/>
    <w:rsid w:val="00941A79"/>
    <w:rsid w:val="00AA31FC"/>
    <w:rsid w:val="00AB7406"/>
    <w:rsid w:val="00B60C78"/>
    <w:rsid w:val="00B747EE"/>
    <w:rsid w:val="00BA4E81"/>
    <w:rsid w:val="00BF229D"/>
    <w:rsid w:val="00C1409D"/>
    <w:rsid w:val="00C52F34"/>
    <w:rsid w:val="00D15B01"/>
    <w:rsid w:val="00F47F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B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7F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7F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7F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7F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.rye.nh.us/Pages/RyeNH_BComm/Planning/2013_Zoning_Ordinanc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Business Research, Inc.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Steven Borne</cp:lastModifiedBy>
  <cp:revision>2</cp:revision>
  <dcterms:created xsi:type="dcterms:W3CDTF">2014-06-30T12:44:00Z</dcterms:created>
  <dcterms:modified xsi:type="dcterms:W3CDTF">2014-06-30T12:44:00Z</dcterms:modified>
</cp:coreProperties>
</file>